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1142891"/>
      <w:bookmarkEnd w:id="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7e23ae95-14d1-494f-ac52-185ba52e2507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Комитет по образованию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Санкт-Петербурга</w:t>
      </w:r>
      <w:bookmarkEnd w:id="1"/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a79db9e-395e-41b7-ae56-606e60c06ed6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Администрация Фрунзенского района</w:t>
      </w:r>
      <w:bookmarkEnd w:id="2"/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ГБОУ Гимназия №441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tLeast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  <w:bookmarkStart w:id="3" w:name="_GoBack"/>
            <w:bookmarkStart w:id="4" w:name="_GoBack"/>
            <w:bookmarkEnd w:id="4"/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tLeast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«22» мая   2025 г.</w:t>
            </w:r>
          </w:p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РАБОЧАЯ ПРОГРАММА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(ID 7760207)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  <w:bookmarkStart w:id="5" w:name="3c91d4df-ec5a-4693-9f78-bc3133ba6b6b"/>
      <w:bookmarkStart w:id="6" w:name="3c91d4df-ec5a-4693-9f78-bc3133ba6b6b"/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3c91d4df-ec5a-4693-9f78-bc3133ba6b6b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Санкт-Петербург</w:t>
      </w:r>
      <w:bookmarkEnd w:id="7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8" w:name="cc9c1c5d-85b7-4c8f-b36f-9edff786d34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2025-2026 </w:t>
      </w:r>
      <w:bookmarkEnd w:id="8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1142891"/>
      <w:bookmarkStart w:id="10" w:name="block-61142894"/>
      <w:bookmarkEnd w:id="9"/>
      <w:bookmarkEnd w:id="1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Программа ОБЗР обеспечивает: </w:t>
      </w:r>
    </w:p>
    <w:p>
      <w:pPr>
        <w:pStyle w:val="Normal"/>
        <w:numPr>
          <w:ilvl w:val="0"/>
          <w:numId w:val="1"/>
        </w:numPr>
        <w:spacing w:lineRule="atLeast" w:line="240" w:before="0" w:after="0"/>
        <w:ind w:hanging="360"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>
      <w:pPr>
        <w:pStyle w:val="Normal"/>
        <w:numPr>
          <w:ilvl w:val="0"/>
          <w:numId w:val="1"/>
        </w:numPr>
        <w:spacing w:lineRule="atLeast" w:line="240" w:before="0" w:after="0"/>
        <w:ind w:hanging="360"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pStyle w:val="Normal"/>
        <w:numPr>
          <w:ilvl w:val="0"/>
          <w:numId w:val="1"/>
        </w:numPr>
        <w:spacing w:lineRule="atLeast" w:line="240" w:before="0" w:after="0"/>
        <w:ind w:hanging="360"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pStyle w:val="Normal"/>
        <w:numPr>
          <w:ilvl w:val="0"/>
          <w:numId w:val="1"/>
        </w:numPr>
        <w:spacing w:lineRule="atLeast" w:line="240" w:before="0" w:after="0"/>
        <w:ind w:hanging="360"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Модуль № 5. </w:t>
      </w:r>
      <w:r>
        <w:rPr>
          <w:rFonts w:cs="Times New Roman" w:ascii="Times New Roman" w:hAnsi="Times New Roman"/>
          <w:color w:val="333333"/>
          <w:sz w:val="24"/>
          <w:szCs w:val="24"/>
        </w:rPr>
        <w:t>«Безопасность на транспорте».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Модуль № 10. </w:t>
      </w:r>
      <w:r>
        <w:rPr>
          <w:rFonts w:cs="Times New Roman" w:ascii="Times New Roman" w:hAnsi="Times New Roman"/>
          <w:color w:val="333333"/>
          <w:sz w:val="24"/>
          <w:szCs w:val="24"/>
        </w:rPr>
        <w:t>«Безопасность в информационном пространстве».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61142894"/>
      <w:bookmarkStart w:id="12" w:name="block-61142888"/>
      <w:bookmarkEnd w:id="11"/>
      <w:bookmarkEnd w:id="12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Модуль № 1. «Безопасное и устойчивое развитие личности, общества, государства»: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маневра;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последствия электротравмы;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Модуль № 5.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«Безопасность на транспорте»: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>
        <w:rPr>
          <w:rFonts w:cs="Times New Roman" w:ascii="Times New Roman" w:hAnsi="Times New Roman"/>
          <w:color w:val="000000"/>
          <w:sz w:val="24"/>
          <w:szCs w:val="24"/>
        </w:rPr>
        <w:t>GPS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радикализация деструктива;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61142888"/>
      <w:bookmarkStart w:id="14" w:name="block-61142889"/>
      <w:bookmarkEnd w:id="13"/>
      <w:bookmarkEnd w:id="14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pStyle w:val="Normal"/>
        <w:spacing w:lineRule="atLeast" w:line="240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bookmarkStart w:id="15" w:name="block-61142889"/>
      <w:bookmarkStart w:id="16" w:name="block-61142890"/>
      <w:bookmarkEnd w:id="15"/>
      <w:bookmarkEnd w:id="16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363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16"/>
        <w:gridCol w:w="4653"/>
        <w:gridCol w:w="2917"/>
        <w:gridCol w:w="4745"/>
      </w:tblGrid>
      <w:tr>
        <w:trPr>
          <w:trHeight w:val="144" w:hRule="atLeast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5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38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82"/>
        <w:gridCol w:w="4486"/>
        <w:gridCol w:w="2972"/>
        <w:gridCol w:w="4901"/>
      </w:tblGrid>
      <w:tr>
        <w:trPr>
          <w:trHeight w:val="144" w:hRule="atLeast"/>
        </w:trPr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4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tLeast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bookmarkStart w:id="17" w:name="block-61142890"/>
      <w:bookmarkStart w:id="18" w:name="block-61142893"/>
      <w:bookmarkEnd w:id="17"/>
      <w:bookmarkEnd w:id="18"/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329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80"/>
        <w:gridCol w:w="4395"/>
        <w:gridCol w:w="2846"/>
        <w:gridCol w:w="1906"/>
        <w:gridCol w:w="2968"/>
      </w:tblGrid>
      <w:tr>
        <w:trPr>
          <w:trHeight w:val="144" w:hRule="atLeast"/>
        </w:trPr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fff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4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5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6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bff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7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8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9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0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1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2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3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4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5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cebedd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6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cebedd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7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8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9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0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1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5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362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5"/>
        <w:gridCol w:w="4431"/>
        <w:gridCol w:w="2830"/>
        <w:gridCol w:w="1889"/>
        <w:gridCol w:w="3329"/>
      </w:tblGrid>
      <w:tr>
        <w:trPr>
          <w:trHeight w:val="144" w:hRule="atLeast"/>
        </w:trPr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Выживание в автономных условиях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[[Библиотека ЦОК</w:t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32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/552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/12845814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beae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Безопасность в цифровой среде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Style w:val="Style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bookmarkStart w:id="19" w:name="block-61142893"/>
      <w:bookmarkStart w:id="20" w:name="block-61142892"/>
      <w:bookmarkEnd w:id="19"/>
      <w:r>
        <w:rPr>
          <w:rFonts w:cs="Times New Roman"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Основы безопасности жизнедеятельности; 10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21" w:name="1cf67330-67df-428f-9a99-0efe5a0fdac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Основы безопасности жизнедеятельности; 11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bookmarkEnd w:id="21"/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Методические рекомендации для учителей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333333"/>
          <w:sz w:val="24"/>
          <w:szCs w:val="24"/>
        </w:rPr>
        <w:t>https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color w:val="333333"/>
          <w:sz w:val="24"/>
          <w:szCs w:val="24"/>
        </w:rPr>
        <w:t>uchitel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333333"/>
          <w:sz w:val="24"/>
          <w:szCs w:val="24"/>
        </w:rPr>
        <w:t>club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color w:val="333333"/>
          <w:sz w:val="24"/>
          <w:szCs w:val="24"/>
        </w:rPr>
        <w:t>fgos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color w:val="333333"/>
          <w:sz w:val="24"/>
          <w:szCs w:val="24"/>
        </w:rPr>
        <w:t>fgos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color w:val="333333"/>
          <w:sz w:val="24"/>
          <w:szCs w:val="24"/>
        </w:rPr>
        <w:t>obzh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.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Проект "Общее дело" </w:t>
      </w:r>
      <w:r>
        <w:rPr>
          <w:rFonts w:cs="Times New Roman" w:ascii="Times New Roman" w:hAnsi="Times New Roman"/>
          <w:color w:val="000000"/>
          <w:sz w:val="24"/>
          <w:szCs w:val="24"/>
        </w:rPr>
        <w:t>http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color w:val="000000"/>
          <w:sz w:val="24"/>
          <w:szCs w:val="24"/>
        </w:rPr>
        <w:t>xn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--90</w:t>
      </w:r>
      <w:r>
        <w:rPr>
          <w:rFonts w:cs="Times New Roman" w:ascii="Times New Roman" w:hAnsi="Times New Roman"/>
          <w:color w:val="000000"/>
          <w:sz w:val="24"/>
          <w:szCs w:val="24"/>
        </w:rPr>
        <w:t>agbbab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>antcgbn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xn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--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ai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Портал детской безопасности МЧС России СПАС-ЭКСТРИМ- </w:t>
      </w:r>
      <w:r>
        <w:rPr>
          <w:rFonts w:cs="Times New Roman" w:ascii="Times New Roman" w:hAnsi="Times New Roman"/>
          <w:color w:val="000000"/>
          <w:sz w:val="24"/>
          <w:szCs w:val="24"/>
        </w:rPr>
        <w:t>http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color w:val="000000"/>
          <w:sz w:val="24"/>
          <w:szCs w:val="24"/>
        </w:rPr>
        <w:t>www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spas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</w:rPr>
        <w:t>extreme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ru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Культура безопасности жизнедеятельности. Сайт МЧС России - </w:t>
      </w:r>
      <w:r>
        <w:rPr>
          <w:rFonts w:cs="Times New Roman" w:ascii="Times New Roman" w:hAnsi="Times New Roman"/>
          <w:color w:val="000000"/>
          <w:sz w:val="24"/>
          <w:szCs w:val="24"/>
        </w:rPr>
        <w:t>http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color w:val="000000"/>
          <w:sz w:val="24"/>
          <w:szCs w:val="24"/>
        </w:rPr>
        <w:t>www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culture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mchs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gov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ru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«ОБЖ: Безопасность через обучение»- </w:t>
      </w:r>
      <w:r>
        <w:rPr>
          <w:rFonts w:cs="Times New Roman" w:ascii="Times New Roman" w:hAnsi="Times New Roman"/>
          <w:color w:val="000000"/>
          <w:sz w:val="24"/>
          <w:szCs w:val="24"/>
        </w:rPr>
        <w:t>http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cs="Times New Roman" w:ascii="Times New Roman" w:hAnsi="Times New Roman"/>
          <w:color w:val="000000"/>
          <w:sz w:val="24"/>
          <w:szCs w:val="24"/>
        </w:rPr>
        <w:t>www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obzh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End w:id="20"/>
    </w:p>
    <w:sectPr>
      <w:type w:val="nextPage"/>
      <w:pgSz w:orient="landscape" w:w="16383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9f3902"/>
    <w:rPr>
      <w:b/>
      <w:b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f3902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f39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8332b07b" TargetMode="External"/><Relationship Id="rId3" Type="http://schemas.openxmlformats.org/officeDocument/2006/relationships/hyperlink" Target="https://m.edsoo.ru/8332b07b" TargetMode="External"/><Relationship Id="rId4" Type="http://schemas.openxmlformats.org/officeDocument/2006/relationships/hyperlink" Target="https://m.edsoo.ru/8332b07b" TargetMode="External"/><Relationship Id="rId5" Type="http://schemas.openxmlformats.org/officeDocument/2006/relationships/hyperlink" Target="https://m.edsoo.ru/8332b07b" TargetMode="External"/><Relationship Id="rId6" Type="http://schemas.openxmlformats.org/officeDocument/2006/relationships/hyperlink" Target="https://m.edsoo.ru/8332b07b" TargetMode="External"/><Relationship Id="rId7" Type="http://schemas.openxmlformats.org/officeDocument/2006/relationships/hyperlink" Target="https://m.edsoo.ru/8332b07b" TargetMode="External"/><Relationship Id="rId8" Type="http://schemas.openxmlformats.org/officeDocument/2006/relationships/hyperlink" Target="https://m.edsoo.ru/2d60fb5a" TargetMode="External"/><Relationship Id="rId9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2d60fb5a" TargetMode="External"/><Relationship Id="rId13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3488963" TargetMode="External"/><Relationship Id="rId15" Type="http://schemas.openxmlformats.org/officeDocument/2006/relationships/hyperlink" Target="https://m.edsoo.ru/ca989222" TargetMode="External"/><Relationship Id="rId16" Type="http://schemas.openxmlformats.org/officeDocument/2006/relationships/hyperlink" Target="https://m.edsoo.ru/ee497bff" TargetMode="External"/><Relationship Id="rId17" Type="http://schemas.openxmlformats.org/officeDocument/2006/relationships/hyperlink" Target="https://m.edsoo.ru/1146f112" TargetMode="External"/><Relationship Id="rId18" Type="http://schemas.openxmlformats.org/officeDocument/2006/relationships/hyperlink" Target="https://m.edsoo.ru/1146f112" TargetMode="External"/><Relationship Id="rId19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/63b34161" TargetMode="External"/><Relationship Id="rId22" Type="http://schemas.openxmlformats.org/officeDocument/2006/relationships/hyperlink" Target="https://m.edsoo.ru/3eb0db0c" TargetMode="External"/><Relationship Id="rId23" Type="http://schemas.openxmlformats.org/officeDocument/2006/relationships/hyperlink" Target="https://m.edsoo.ru/3eb0db0c" TargetMode="External"/><Relationship Id="rId24" Type="http://schemas.openxmlformats.org/officeDocument/2006/relationships/hyperlink" Target="https://m.edsoo.ru/ec659795" TargetMode="External"/><Relationship Id="rId25" Type="http://schemas.openxmlformats.org/officeDocument/2006/relationships/hyperlink" Target="https://m.edsoo.ru/b4cebedd" TargetMode="External"/><Relationship Id="rId26" Type="http://schemas.openxmlformats.org/officeDocument/2006/relationships/hyperlink" Target="https://m.edsoo.ru/b4cebedd" TargetMode="External"/><Relationship Id="rId27" Type="http://schemas.openxmlformats.org/officeDocument/2006/relationships/hyperlink" Target="https://m.edsoo.ru/a196276c" TargetMode="External"/><Relationship Id="rId28" Type="http://schemas.openxmlformats.org/officeDocument/2006/relationships/hyperlink" Target="https://m.edsoo.ru/a196276c" TargetMode="External"/><Relationship Id="rId29" Type="http://schemas.openxmlformats.org/officeDocument/2006/relationships/hyperlink" Target="https://m.edsoo.ru/a2e1b5d5" TargetMode="External"/><Relationship Id="rId30" Type="http://schemas.openxmlformats.org/officeDocument/2006/relationships/hyperlink" Target="https://m.edsoo.ru/b12d5cd5" TargetMode="External"/><Relationship Id="rId31" Type="http://schemas.openxmlformats.org/officeDocument/2006/relationships/hyperlink" Target="https://m.edsoo.ru/b12d5cd5" TargetMode="External"/><Relationship Id="rId32" Type="http://schemas.openxmlformats.org/officeDocument/2006/relationships/hyperlink" Target="https://m.edsoo.ru/4dd59356" TargetMode="External"/><Relationship Id="rId33" Type="http://schemas.openxmlformats.org/officeDocument/2006/relationships/hyperlink" Target="https://m.edsoo.ru/d331f5d5" TargetMode="External"/><Relationship Id="rId34" Type="http://schemas.openxmlformats.org/officeDocument/2006/relationships/hyperlink" Target="https://m.edsoo.ru/552ec0cd" TargetMode="External"/><Relationship Id="rId35" Type="http://schemas.openxmlformats.org/officeDocument/2006/relationships/hyperlink" Target="https://m.edsoo.ru/12845814" TargetMode="External"/><Relationship Id="rId36" Type="http://schemas.openxmlformats.org/officeDocument/2006/relationships/hyperlink" Target="https://m.edsoo.ru/6beae69f" TargetMode="External"/><Relationship Id="rId37" Type="http://schemas.openxmlformats.org/officeDocument/2006/relationships/hyperlink" Target="https://m.edsoo.ru/cf0d6e0f" TargetMode="External"/><Relationship Id="rId38" Type="http://schemas.openxmlformats.org/officeDocument/2006/relationships/hyperlink" Target="https://m.edsoo.ru/a38c6e17" TargetMode="External"/><Relationship Id="rId39" Type="http://schemas.openxmlformats.org/officeDocument/2006/relationships/hyperlink" Target="https://m.edsoo.ru/d4ee0176" TargetMode="External"/><Relationship Id="rId40" Type="http://schemas.openxmlformats.org/officeDocument/2006/relationships/hyperlink" Target="https://m.edsoo.ru/e58b334d" TargetMode="External"/><Relationship Id="rId41" Type="http://schemas.openxmlformats.org/officeDocument/2006/relationships/hyperlink" Target="https://m.edsoo.ru/e58b334d" TargetMode="External"/><Relationship Id="rId42" Type="http://schemas.openxmlformats.org/officeDocument/2006/relationships/hyperlink" Target="https://m.edsoo.ru/b20971f2" TargetMode="External"/><Relationship Id="rId43" Type="http://schemas.openxmlformats.org/officeDocument/2006/relationships/hyperlink" Target="https://m.edsoo.ru/c66f9d2e" TargetMode="External"/><Relationship Id="rId44" Type="http://schemas.openxmlformats.org/officeDocument/2006/relationships/hyperlink" Target="https://m.edsoo.ru/c66f9d2e" TargetMode="External"/><Relationship Id="rId45" Type="http://schemas.openxmlformats.org/officeDocument/2006/relationships/hyperlink" Target="https://m.edsoo.ru/738187f6" TargetMode="External"/><Relationship Id="rId46" Type="http://schemas.openxmlformats.org/officeDocument/2006/relationships/hyperlink" Target="https://m.edsoo.ru/738187f6" TargetMode="External"/><Relationship Id="rId47" Type="http://schemas.openxmlformats.org/officeDocument/2006/relationships/hyperlink" Target="https://m.edsoo.ru/d526ac07%5D%5D" TargetMode="External"/><Relationship Id="rId48" Type="http://schemas.openxmlformats.org/officeDocument/2006/relationships/hyperlink" Target="https://m.edsoo.ru/3906b95b" TargetMode="External"/><Relationship Id="rId49" Type="http://schemas.openxmlformats.org/officeDocument/2006/relationships/hyperlink" Target="https://m.edsoo.ru/3906b95b" TargetMode="External"/><Relationship Id="rId50" Type="http://schemas.openxmlformats.org/officeDocument/2006/relationships/hyperlink" Target="https://m.edsoo.ru/39a257c1" TargetMode="External"/><Relationship Id="rId51" Type="http://schemas.openxmlformats.org/officeDocument/2006/relationships/hyperlink" Target="https://m.edsoo.ru/98341000000" TargetMode="External"/><Relationship Id="rId52" Type="http://schemas.openxmlformats.org/officeDocument/2006/relationships/hyperlink" Target="https://m.edsoo.ru/98341000000" TargetMode="External"/><Relationship Id="rId53" Type="http://schemas.openxmlformats.org/officeDocument/2006/relationships/hyperlink" Target="https://m.edsoo.ru/fbc7d6cc" TargetMode="External"/><Relationship Id="rId54" Type="http://schemas.openxmlformats.org/officeDocument/2006/relationships/hyperlink" Target="https://m.edsoo.ru/fbc7d6cc" TargetMode="External"/><Relationship Id="rId55" Type="http://schemas.openxmlformats.org/officeDocument/2006/relationships/hyperlink" Target="https://m.edsoo.ru/1e56ec00" TargetMode="External"/><Relationship Id="rId56" Type="http://schemas.openxmlformats.org/officeDocument/2006/relationships/hyperlink" Target="https://m.edsoo.ru/1e56ec00" TargetMode="External"/><Relationship Id="rId57" Type="http://schemas.openxmlformats.org/officeDocument/2006/relationships/numbering" Target="numbering.xml"/><Relationship Id="rId58" Type="http://schemas.openxmlformats.org/officeDocument/2006/relationships/fontTable" Target="fontTable.xml"/><Relationship Id="rId59" Type="http://schemas.openxmlformats.org/officeDocument/2006/relationships/settings" Target="settings.xml"/><Relationship Id="rId6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LibreOffice_project/480$Build-2</Application>
  <AppVersion>15.0000</AppVersion>
  <Pages>37</Pages>
  <Words>8269</Words>
  <Characters>64759</Characters>
  <CharactersWithSpaces>72247</CharactersWithSpaces>
  <Paragraphs>951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2025-08-29T12:40:00Z</dcterms:created>
  <dc:creator>Антон И. Самарцев</dc:creator>
  <dc:description/>
  <dc:language>ru-RU</dc:language>
  <cp:lastModifiedBy/>
  <cp:lastPrinted>2025-08-29T12:39:00Z</cp:lastPrinted>
  <dcterms:modified xsi:type="dcterms:W3CDTF">2025-08-29T16:13:44Z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